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7D" w:rsidRPr="0052627D" w:rsidRDefault="0052627D" w:rsidP="0052627D">
      <w:pPr>
        <w:jc w:val="both"/>
        <w:rPr>
          <w:b/>
          <w:bCs/>
          <w:sz w:val="24"/>
          <w:szCs w:val="24"/>
        </w:rPr>
      </w:pPr>
      <w:r w:rsidRPr="0052627D">
        <w:rPr>
          <w:b/>
          <w:bCs/>
          <w:sz w:val="24"/>
          <w:szCs w:val="24"/>
        </w:rPr>
        <w:t xml:space="preserve">Concessione del servizio di gestione </w:t>
      </w:r>
      <w:r w:rsidR="003D3390">
        <w:rPr>
          <w:b/>
          <w:bCs/>
          <w:sz w:val="24"/>
          <w:szCs w:val="24"/>
        </w:rPr>
        <w:t xml:space="preserve">ed uso </w:t>
      </w:r>
      <w:r w:rsidRPr="0052627D">
        <w:rPr>
          <w:b/>
          <w:bCs/>
          <w:sz w:val="24"/>
          <w:szCs w:val="24"/>
        </w:rPr>
        <w:t>dell’impianto sportivo di calcio “</w:t>
      </w:r>
      <w:r w:rsidR="003D3390">
        <w:rPr>
          <w:b/>
          <w:bCs/>
          <w:sz w:val="24"/>
          <w:szCs w:val="24"/>
        </w:rPr>
        <w:t>Giulio Nicosia</w:t>
      </w:r>
      <w:r w:rsidRPr="0052627D">
        <w:rPr>
          <w:b/>
          <w:bCs/>
          <w:sz w:val="24"/>
          <w:szCs w:val="24"/>
        </w:rPr>
        <w:t xml:space="preserve">“, sito in Tremestieri Etneo </w:t>
      </w:r>
      <w:r w:rsidR="003D3390">
        <w:rPr>
          <w:b/>
          <w:bCs/>
          <w:sz w:val="24"/>
          <w:szCs w:val="24"/>
        </w:rPr>
        <w:t xml:space="preserve">- </w:t>
      </w:r>
      <w:r w:rsidRPr="0052627D">
        <w:rPr>
          <w:b/>
          <w:bCs/>
          <w:sz w:val="24"/>
          <w:szCs w:val="24"/>
        </w:rPr>
        <w:t>frazione Piano</w:t>
      </w:r>
      <w:r w:rsidR="003D3390">
        <w:rPr>
          <w:b/>
          <w:bCs/>
          <w:sz w:val="24"/>
          <w:szCs w:val="24"/>
        </w:rPr>
        <w:t xml:space="preserve"> -</w:t>
      </w:r>
      <w:r w:rsidRPr="0052627D">
        <w:rPr>
          <w:b/>
          <w:bCs/>
          <w:sz w:val="24"/>
          <w:szCs w:val="24"/>
        </w:rPr>
        <w:t xml:space="preserve"> Via Etnea</w:t>
      </w:r>
    </w:p>
    <w:p w:rsidR="0052627D" w:rsidRPr="0052627D" w:rsidRDefault="0052627D" w:rsidP="0052627D">
      <w:pPr>
        <w:jc w:val="center"/>
      </w:pPr>
      <w:r w:rsidRPr="0052627D">
        <w:t>Relazione tecnica-illustrativa e piano economico finanziario</w:t>
      </w:r>
    </w:p>
    <w:p w:rsidR="00E0647F" w:rsidRDefault="0052627D" w:rsidP="0052627D">
      <w:pPr>
        <w:jc w:val="center"/>
      </w:pPr>
      <w:r w:rsidRPr="0052627D">
        <w:t xml:space="preserve">Ai sensi dell’art. 23, comma 15, del </w:t>
      </w:r>
      <w:proofErr w:type="spellStart"/>
      <w:r w:rsidRPr="0052627D">
        <w:t>D.Lgs.</w:t>
      </w:r>
      <w:proofErr w:type="spellEnd"/>
      <w:r w:rsidRPr="0052627D">
        <w:t xml:space="preserve"> n.50/2016</w:t>
      </w:r>
    </w:p>
    <w:p w:rsidR="003D3390" w:rsidRPr="003D3390" w:rsidRDefault="0052627D" w:rsidP="00C31B8F">
      <w:pPr>
        <w:jc w:val="both"/>
      </w:pPr>
      <w:r w:rsidRPr="0052627D">
        <w:t xml:space="preserve">Nella frazione di </w:t>
      </w:r>
      <w:r w:rsidR="006D538C">
        <w:t>Piano di Tremestieri Etneo</w:t>
      </w:r>
      <w:r w:rsidRPr="0052627D">
        <w:t xml:space="preserve"> è presente un impianto sportivo destinato alla pratica del calcio denominato</w:t>
      </w:r>
      <w:r>
        <w:t xml:space="preserve"> </w:t>
      </w:r>
      <w:r w:rsidRPr="0052627D">
        <w:t>“</w:t>
      </w:r>
      <w:r w:rsidR="003D3390">
        <w:t>Giulio Nicosia”</w:t>
      </w:r>
      <w:r w:rsidRPr="0052627D">
        <w:t>.</w:t>
      </w:r>
      <w:r>
        <w:t xml:space="preserve"> </w:t>
      </w:r>
      <w:r w:rsidR="003D3390">
        <w:t>L</w:t>
      </w:r>
      <w:r w:rsidR="00863172">
        <w:t>’impianto in questione consta di:</w:t>
      </w:r>
      <w:r w:rsidR="00863172">
        <w:tab/>
      </w:r>
      <w:r w:rsidR="00863172">
        <w:tab/>
      </w:r>
      <w:r w:rsidR="00863172">
        <w:tab/>
      </w:r>
      <w:r w:rsidR="00863172">
        <w:tab/>
        <w:t xml:space="preserve">     </w:t>
      </w:r>
      <w:r w:rsidR="00C31B8F">
        <w:t xml:space="preserve"> </w:t>
      </w:r>
      <w:r w:rsidR="00863172">
        <w:tab/>
        <w:t xml:space="preserve">      </w:t>
      </w:r>
      <w:r w:rsidR="003D3390">
        <w:t xml:space="preserve">a) </w:t>
      </w:r>
      <w:r w:rsidR="00863172">
        <w:t xml:space="preserve">n° 1 </w:t>
      </w:r>
      <w:r w:rsidR="003D3390" w:rsidRPr="003D3390">
        <w:t>campo di calcio</w:t>
      </w:r>
      <w:r w:rsidR="003D3390">
        <w:t>;</w:t>
      </w:r>
      <w:r w:rsidR="00C31B8F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  <w:t xml:space="preserve">      b) </w:t>
      </w:r>
      <w:r w:rsidR="003D3390" w:rsidRPr="003D3390">
        <w:t>Locali Spogliatoi distinti in: Locale arbitri, Locale Squadra locale, Locale Squadra ospite, locale visita medica e Magazzino/lavanderia;</w:t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</w:r>
      <w:r w:rsidR="003D3390">
        <w:tab/>
        <w:t xml:space="preserve">     </w:t>
      </w:r>
      <w:r w:rsidR="00C31B8F">
        <w:tab/>
      </w:r>
      <w:r w:rsidR="003D3390">
        <w:t xml:space="preserve"> </w:t>
      </w:r>
      <w:r w:rsidR="00C31B8F">
        <w:t xml:space="preserve">     </w:t>
      </w:r>
      <w:r w:rsidR="003D3390">
        <w:t xml:space="preserve">c) </w:t>
      </w:r>
      <w:r w:rsidR="003D3390" w:rsidRPr="003D3390">
        <w:t>aree a verde lungo il perimetro nord-ovest e adiacente gli spogliatoi.</w:t>
      </w:r>
    </w:p>
    <w:p w:rsidR="0063404A" w:rsidRPr="0063404A" w:rsidRDefault="0063404A" w:rsidP="003D3390">
      <w:pPr>
        <w:jc w:val="both"/>
        <w:rPr>
          <w:b/>
          <w:bCs/>
          <w:i/>
          <w:iCs/>
        </w:rPr>
      </w:pPr>
      <w:r w:rsidRPr="0063404A">
        <w:rPr>
          <w:b/>
          <w:bCs/>
          <w:i/>
          <w:iCs/>
        </w:rPr>
        <w:t>Obiettivi</w:t>
      </w:r>
    </w:p>
    <w:p w:rsidR="0063404A" w:rsidRPr="0063404A" w:rsidRDefault="0063404A" w:rsidP="0063404A">
      <w:pPr>
        <w:jc w:val="both"/>
      </w:pPr>
      <w:r w:rsidRPr="0063404A">
        <w:t>L’intento dell’Amministrazione Comunale è quello di garantire l’operatività della</w:t>
      </w:r>
      <w:r>
        <w:t xml:space="preserve"> </w:t>
      </w:r>
      <w:r w:rsidRPr="0063404A">
        <w:t>struttura e pertanto risulta palese la</w:t>
      </w:r>
      <w:r>
        <w:t xml:space="preserve"> </w:t>
      </w:r>
      <w:r w:rsidRPr="0063404A">
        <w:t>necessità di bandire la gara per l’individuazione di un soggetto al quale concedere la</w:t>
      </w:r>
      <w:r>
        <w:t xml:space="preserve"> </w:t>
      </w:r>
      <w:r w:rsidRPr="0063404A">
        <w:t xml:space="preserve">gestione del servizio, assicurando al concessionario gli introiti derivanti dalle tariffe </w:t>
      </w:r>
      <w:r w:rsidR="00863172">
        <w:t>vigenti</w:t>
      </w:r>
      <w:r w:rsidRPr="0063404A">
        <w:t>, prevedendo altresì a carico del concessionario la</w:t>
      </w:r>
      <w:r>
        <w:t xml:space="preserve"> </w:t>
      </w:r>
      <w:proofErr w:type="spellStart"/>
      <w:r w:rsidRPr="0063404A">
        <w:t>volturazione</w:t>
      </w:r>
      <w:proofErr w:type="spellEnd"/>
      <w:r w:rsidRPr="0063404A">
        <w:t xml:space="preserve"> ed il pagamento delle utenze, degli oneri relativi alla manutenzione ordinaria</w:t>
      </w:r>
      <w:r>
        <w:t xml:space="preserve"> </w:t>
      </w:r>
      <w:r w:rsidRPr="0063404A">
        <w:t>compresa la conduzione degli impianti tecnologici.</w:t>
      </w:r>
    </w:p>
    <w:p w:rsidR="0063404A" w:rsidRDefault="0063404A" w:rsidP="0063404A">
      <w:pPr>
        <w:jc w:val="both"/>
      </w:pPr>
      <w:r w:rsidRPr="0063404A">
        <w:t xml:space="preserve">Attualmente l’impianto </w:t>
      </w:r>
      <w:r>
        <w:t xml:space="preserve">non </w:t>
      </w:r>
      <w:r w:rsidRPr="0063404A">
        <w:t>viene utilizzato</w:t>
      </w:r>
      <w:r>
        <w:t>, ma i</w:t>
      </w:r>
      <w:r w:rsidRPr="0063404A">
        <w:t xml:space="preserve">l numero giornaliero di utenti che </w:t>
      </w:r>
      <w:r>
        <w:t xml:space="preserve">lo </w:t>
      </w:r>
      <w:r w:rsidRPr="0063404A">
        <w:t>frequent</w:t>
      </w:r>
      <w:r>
        <w:t xml:space="preserve">erebbero si stima in circa </w:t>
      </w:r>
      <w:r w:rsidR="006D538C">
        <w:t>25</w:t>
      </w:r>
      <w:r w:rsidRPr="0063404A">
        <w:t xml:space="preserve"> unità.</w:t>
      </w:r>
      <w:r>
        <w:t xml:space="preserve"> N</w:t>
      </w:r>
      <w:r w:rsidRPr="0063404A">
        <w:t>elle giornate di sabato o</w:t>
      </w:r>
      <w:r>
        <w:t xml:space="preserve"> </w:t>
      </w:r>
      <w:r w:rsidRPr="0063404A">
        <w:t xml:space="preserve">domenica </w:t>
      </w:r>
      <w:r>
        <w:t>si ritiene che tale numero po</w:t>
      </w:r>
      <w:r w:rsidR="00863172">
        <w:t>trebbe</w:t>
      </w:r>
      <w:r>
        <w:t xml:space="preserve"> essere pari a </w:t>
      </w:r>
      <w:r w:rsidR="006D538C">
        <w:t>45</w:t>
      </w:r>
      <w:r w:rsidRPr="0063404A">
        <w:t xml:space="preserve"> </w:t>
      </w:r>
      <w:r>
        <w:t>utenti pro die.</w:t>
      </w:r>
    </w:p>
    <w:p w:rsidR="0063404A" w:rsidRPr="0063404A" w:rsidRDefault="0063404A" w:rsidP="0063404A">
      <w:pPr>
        <w:jc w:val="both"/>
      </w:pPr>
      <w:r w:rsidRPr="0063404A">
        <w:t xml:space="preserve">Il Comune di </w:t>
      </w:r>
      <w:r w:rsidR="00730847">
        <w:t>Tremestieri Etneo</w:t>
      </w:r>
      <w:r w:rsidRPr="0063404A">
        <w:t>, che vede sul territorio la presenza di diverse associazioni</w:t>
      </w:r>
      <w:r w:rsidR="00730847">
        <w:t xml:space="preserve"> </w:t>
      </w:r>
      <w:r w:rsidRPr="0063404A">
        <w:t>sportive, intende procedere, mediante</w:t>
      </w:r>
      <w:r w:rsidR="00730847">
        <w:t xml:space="preserve"> </w:t>
      </w:r>
      <w:r w:rsidRPr="0063404A">
        <w:t>procedura aperta, alla stipula di un contratto di concessione del servizio.</w:t>
      </w:r>
    </w:p>
    <w:p w:rsidR="0063404A" w:rsidRPr="0063404A" w:rsidRDefault="0063404A" w:rsidP="0063404A">
      <w:pPr>
        <w:jc w:val="both"/>
        <w:rPr>
          <w:b/>
          <w:bCs/>
        </w:rPr>
      </w:pPr>
      <w:r w:rsidRPr="0063404A">
        <w:rPr>
          <w:b/>
          <w:bCs/>
        </w:rPr>
        <w:t>Specifiche tecniche e prestazioni</w:t>
      </w:r>
    </w:p>
    <w:p w:rsidR="0063404A" w:rsidRPr="0063404A" w:rsidRDefault="0063404A" w:rsidP="0063404A">
      <w:pPr>
        <w:jc w:val="both"/>
      </w:pPr>
      <w:r w:rsidRPr="0063404A">
        <w:t>In relazione a quanto sopra descritto ed agli obiettivi evidenziati si riportano di seguito le</w:t>
      </w:r>
      <w:r w:rsidR="00730847">
        <w:t xml:space="preserve"> </w:t>
      </w:r>
      <w:r w:rsidRPr="0063404A">
        <w:t xml:space="preserve">specifiche e le prestazioni richieste meglio dettagliate nel capitolato </w:t>
      </w:r>
      <w:r w:rsidR="00863172">
        <w:t>d’oneri</w:t>
      </w:r>
      <w:r w:rsidRPr="0063404A">
        <w:t>.</w:t>
      </w:r>
      <w:r w:rsidR="00730847">
        <w:t xml:space="preserve"> </w:t>
      </w:r>
      <w:r w:rsidRPr="0063404A">
        <w:t>La durata della concessione è fissata in anni 3. La stessa durata potrà essere prolungata</w:t>
      </w:r>
      <w:r w:rsidR="00730847">
        <w:t xml:space="preserve"> </w:t>
      </w:r>
      <w:r w:rsidRPr="0063404A">
        <w:t xml:space="preserve">fino ad </w:t>
      </w:r>
      <w:r w:rsidR="00863172">
        <w:t xml:space="preserve">un massimo di </w:t>
      </w:r>
      <w:r w:rsidR="00730847">
        <w:t>10 anni</w:t>
      </w:r>
      <w:r w:rsidRPr="0063404A">
        <w:t>, in relazione agli eventuali interventi di miglioria da effettuare</w:t>
      </w:r>
      <w:r w:rsidR="00863172">
        <w:t>,</w:t>
      </w:r>
      <w:r w:rsidRPr="0063404A">
        <w:t xml:space="preserve"> proposti in</w:t>
      </w:r>
      <w:r w:rsidR="00730847">
        <w:t xml:space="preserve"> </w:t>
      </w:r>
      <w:r w:rsidRPr="0063404A">
        <w:t>sede di gara con allegato il relativo piano economico- finanziario</w:t>
      </w:r>
      <w:r w:rsidR="00863172">
        <w:t xml:space="preserve">. Verrà </w:t>
      </w:r>
      <w:r w:rsidRPr="0063404A">
        <w:t>garantita</w:t>
      </w:r>
      <w:r w:rsidR="00730847">
        <w:t xml:space="preserve"> </w:t>
      </w:r>
      <w:r w:rsidRPr="0063404A">
        <w:t>comunque una durata minima di 3 anni.</w:t>
      </w:r>
    </w:p>
    <w:p w:rsidR="0063404A" w:rsidRPr="0063404A" w:rsidRDefault="0063404A" w:rsidP="0063404A">
      <w:pPr>
        <w:jc w:val="both"/>
      </w:pPr>
      <w:r w:rsidRPr="0063404A">
        <w:t xml:space="preserve">La gestione deve assicurare il funzionamento dell’impianto con la finalità di </w:t>
      </w:r>
      <w:r w:rsidR="00863172">
        <w:t>consentire</w:t>
      </w:r>
      <w:r w:rsidRPr="0063404A">
        <w:t xml:space="preserve"> </w:t>
      </w:r>
      <w:r w:rsidR="00863172" w:rsidRPr="0063404A">
        <w:t xml:space="preserve">il regolare svolgimento della pratica sportiva </w:t>
      </w:r>
      <w:r w:rsidR="00863172">
        <w:t>e</w:t>
      </w:r>
      <w:r w:rsidRPr="0063404A">
        <w:t xml:space="preserve"> pertanto dovrà essere garantita la </w:t>
      </w:r>
      <w:r w:rsidR="00863172">
        <w:t xml:space="preserve">massima </w:t>
      </w:r>
      <w:r w:rsidRPr="0063404A">
        <w:t>fruibilità della struttura</w:t>
      </w:r>
      <w:r w:rsidR="00863172">
        <w:t>.</w:t>
      </w:r>
      <w:r w:rsidR="00730847" w:rsidRPr="0063404A">
        <w:t xml:space="preserve"> </w:t>
      </w:r>
      <w:r w:rsidRPr="0063404A">
        <w:t xml:space="preserve">L’amministrazione si riserva l’uso dell’impianto per </w:t>
      </w:r>
      <w:r w:rsidR="00730847">
        <w:t>12</w:t>
      </w:r>
      <w:r w:rsidRPr="0063404A">
        <w:t xml:space="preserve"> gg. annui, senza alcun onere</w:t>
      </w:r>
      <w:r w:rsidR="00730847">
        <w:t xml:space="preserve"> </w:t>
      </w:r>
      <w:r w:rsidRPr="0063404A">
        <w:t>finanziario in capo alla stessa</w:t>
      </w:r>
      <w:r w:rsidR="00863172">
        <w:t xml:space="preserve"> e</w:t>
      </w:r>
      <w:r w:rsidRPr="0063404A">
        <w:t xml:space="preserve"> </w:t>
      </w:r>
      <w:r w:rsidR="00863172">
        <w:t xml:space="preserve">all’uopo </w:t>
      </w:r>
      <w:r w:rsidRPr="0063404A">
        <w:t>provvederà ad inoltrare la richiesta</w:t>
      </w:r>
      <w:r w:rsidR="00730847">
        <w:t xml:space="preserve"> con congruo anticipo</w:t>
      </w:r>
      <w:r w:rsidRPr="0063404A">
        <w:t>.</w:t>
      </w:r>
    </w:p>
    <w:p w:rsidR="0063404A" w:rsidRPr="0063404A" w:rsidRDefault="0063404A" w:rsidP="0063404A">
      <w:pPr>
        <w:jc w:val="both"/>
      </w:pPr>
      <w:r w:rsidRPr="0063404A">
        <w:t>Sono previste altresì le seguenti prescrizioni:</w:t>
      </w:r>
    </w:p>
    <w:p w:rsidR="00730847" w:rsidRPr="00730847" w:rsidRDefault="00730847" w:rsidP="00730847">
      <w:pPr>
        <w:jc w:val="both"/>
      </w:pPr>
      <w:r w:rsidRPr="00730847">
        <w:t>1. il mancato utilizzo dell'impianto, senza preavviso di almeno 3 gg. rispetto alla prenotazione, comporta comunque il pagamento della tariffa, se non dovuto a causa di forza maggiore;</w:t>
      </w:r>
    </w:p>
    <w:p w:rsidR="00730847" w:rsidRPr="00730847" w:rsidRDefault="00730847" w:rsidP="00730847">
      <w:pPr>
        <w:jc w:val="both"/>
      </w:pPr>
      <w:r w:rsidRPr="00730847">
        <w:t>2. in caso di anticipata sospensione dell’attività per colpa del soggetto che ha prenotato, lo stesso non verrà</w:t>
      </w:r>
    </w:p>
    <w:p w:rsidR="00730847" w:rsidRPr="00730847" w:rsidRDefault="00730847" w:rsidP="00730847">
      <w:pPr>
        <w:jc w:val="both"/>
      </w:pPr>
      <w:r w:rsidRPr="00730847">
        <w:t>effettuato alcun rimborso;</w:t>
      </w:r>
    </w:p>
    <w:p w:rsidR="00730847" w:rsidRPr="00730847" w:rsidRDefault="00730847" w:rsidP="00730847">
      <w:pPr>
        <w:jc w:val="both"/>
      </w:pPr>
      <w:r w:rsidRPr="00730847">
        <w:lastRenderedPageBreak/>
        <w:t>3. il marcato versamento delle tariffe prima dell’utilizzo dell’impianto comporta l’</w:t>
      </w:r>
      <w:proofErr w:type="spellStart"/>
      <w:r w:rsidRPr="00730847">
        <w:t>impossibilìtà</w:t>
      </w:r>
      <w:proofErr w:type="spellEnd"/>
      <w:r w:rsidRPr="00730847">
        <w:t xml:space="preserve"> ad</w:t>
      </w:r>
      <w:r w:rsidR="00863172">
        <w:t xml:space="preserve"> </w:t>
      </w:r>
      <w:r w:rsidRPr="00730847">
        <w:t>utilizzare lo stesso;</w:t>
      </w:r>
    </w:p>
    <w:p w:rsidR="00730847" w:rsidRPr="00730847" w:rsidRDefault="00863172" w:rsidP="00730847">
      <w:pPr>
        <w:jc w:val="both"/>
      </w:pPr>
      <w:r>
        <w:t>4</w:t>
      </w:r>
      <w:r w:rsidR="00730847" w:rsidRPr="00730847">
        <w:t>. l'accesso al campo e agli spogliatoi è riservato ai soli soggetti che hanno prenotato o agli atleti autorizzati dalle società o associazioni sportive che hanno prenotato la struttura;</w:t>
      </w:r>
    </w:p>
    <w:p w:rsidR="00730847" w:rsidRPr="00730847" w:rsidRDefault="00863172" w:rsidP="00730847">
      <w:pPr>
        <w:jc w:val="both"/>
      </w:pPr>
      <w:r>
        <w:t>5</w:t>
      </w:r>
      <w:r w:rsidR="00730847" w:rsidRPr="00730847">
        <w:t>- l’accesso degli atleti agli spogliatoi o alle strutture può avvenire solamente alla presenza di un responsabile e non più di 15 minuti prima dell’inizio dell'attività;</w:t>
      </w:r>
    </w:p>
    <w:p w:rsidR="00730847" w:rsidRPr="00730847" w:rsidRDefault="00863172" w:rsidP="00730847">
      <w:pPr>
        <w:jc w:val="both"/>
      </w:pPr>
      <w:r>
        <w:t>6</w:t>
      </w:r>
      <w:r w:rsidR="00730847" w:rsidRPr="00730847">
        <w:t>. gli spogliatoi devono essere lasciati liberi e disponibili all’ora prevista e comunque non oltre 30 minuti dal termine dell'attività sportiva.</w:t>
      </w:r>
    </w:p>
    <w:p w:rsidR="00730847" w:rsidRPr="00730847" w:rsidRDefault="00863172" w:rsidP="00730847">
      <w:pPr>
        <w:jc w:val="both"/>
      </w:pPr>
      <w:r>
        <w:t>7</w:t>
      </w:r>
      <w:r w:rsidR="00730847" w:rsidRPr="00730847">
        <w:t>. l'accesso alle strutture è consentito solo con vestiario e/o attrezzature idonee all’attività;</w:t>
      </w:r>
    </w:p>
    <w:p w:rsidR="00730847" w:rsidRPr="00730847" w:rsidRDefault="00863172" w:rsidP="00730847">
      <w:pPr>
        <w:jc w:val="both"/>
      </w:pPr>
      <w:r>
        <w:t>8</w:t>
      </w:r>
      <w:r w:rsidR="00730847" w:rsidRPr="00730847">
        <w:t>.  è fatto divieto di introdurre oggetti di vetro o metalli pericolosi;</w:t>
      </w:r>
    </w:p>
    <w:p w:rsidR="00730847" w:rsidRPr="00730847" w:rsidRDefault="00863172" w:rsidP="00730847">
      <w:pPr>
        <w:jc w:val="both"/>
      </w:pPr>
      <w:r>
        <w:t>9</w:t>
      </w:r>
      <w:r w:rsidR="00730847" w:rsidRPr="00730847">
        <w:t>.  Non possono essere introdotti animali;</w:t>
      </w:r>
    </w:p>
    <w:p w:rsidR="00730847" w:rsidRPr="00730847" w:rsidRDefault="00730847" w:rsidP="00730847">
      <w:pPr>
        <w:jc w:val="both"/>
      </w:pPr>
      <w:r w:rsidRPr="00730847">
        <w:t>1</w:t>
      </w:r>
      <w:r w:rsidR="00863172">
        <w:t>0</w:t>
      </w:r>
      <w:r w:rsidRPr="00730847">
        <w:t>.  è fatto divieto dì fumare o consumare cibi o bivaccare in tutti i locali/immobili concessi</w:t>
      </w:r>
      <w:r w:rsidR="00863172">
        <w:t>;</w:t>
      </w:r>
    </w:p>
    <w:p w:rsidR="0063404A" w:rsidRDefault="00730847" w:rsidP="0063404A">
      <w:pPr>
        <w:jc w:val="both"/>
      </w:pPr>
      <w:r>
        <w:t>1</w:t>
      </w:r>
      <w:r w:rsidR="00743883">
        <w:t>1</w:t>
      </w:r>
      <w:r>
        <w:t xml:space="preserve">. </w:t>
      </w:r>
      <w:r w:rsidR="0063404A" w:rsidRPr="0063404A">
        <w:t xml:space="preserve">Corresponsione di un canone annuo da parte del soggetto gestore </w:t>
      </w:r>
      <w:r>
        <w:t xml:space="preserve">che </w:t>
      </w:r>
      <w:r w:rsidRPr="00730847">
        <w:t xml:space="preserve">sarà determinato dal rialzo in aumento sull’importo annuo a base d’asta di € </w:t>
      </w:r>
      <w:r w:rsidR="004608AC">
        <w:t>4</w:t>
      </w:r>
      <w:r w:rsidRPr="00730847">
        <w:t>.</w:t>
      </w:r>
      <w:r w:rsidR="004608AC">
        <w:t>2</w:t>
      </w:r>
      <w:r w:rsidRPr="00730847">
        <w:t>00,00 oltre IVA</w:t>
      </w:r>
      <w:r w:rsidR="0063404A" w:rsidRPr="0063404A">
        <w:t>.</w:t>
      </w:r>
    </w:p>
    <w:p w:rsidR="00AF03F9" w:rsidRDefault="00AF03F9" w:rsidP="00AF03F9">
      <w:pPr>
        <w:jc w:val="both"/>
      </w:pPr>
      <w:r w:rsidRPr="00AF03F9">
        <w:t>Eventuali spese che dovessero rendersi necessarie per rinnovi di omologazioni de</w:t>
      </w:r>
      <w:r>
        <w:t>l</w:t>
      </w:r>
      <w:r w:rsidRPr="00AF03F9">
        <w:t xml:space="preserve"> camp</w:t>
      </w:r>
      <w:r>
        <w:t xml:space="preserve">o </w:t>
      </w:r>
      <w:r w:rsidRPr="00AF03F9">
        <w:t>da gioco e/o dell’impianto</w:t>
      </w:r>
      <w:r>
        <w:t>,</w:t>
      </w:r>
      <w:r w:rsidRPr="00AF03F9">
        <w:t xml:space="preserve"> sono a carico del gestore dal momento in cui diventa affidatario</w:t>
      </w:r>
      <w:r>
        <w:t xml:space="preserve"> </w:t>
      </w:r>
      <w:r w:rsidRPr="00AF03F9">
        <w:t>definitivo.</w:t>
      </w:r>
    </w:p>
    <w:p w:rsidR="00AF03F9" w:rsidRDefault="00AF03F9" w:rsidP="00AF03F9">
      <w:pPr>
        <w:jc w:val="both"/>
      </w:pPr>
      <w:r w:rsidRPr="00AF03F9">
        <w:t>Il gestore durante tutto il periodo di gestione dovrà provvedere ad effettuare i controlli</w:t>
      </w:r>
      <w:r>
        <w:t xml:space="preserve"> </w:t>
      </w:r>
      <w:r w:rsidRPr="00AF03F9">
        <w:t>previsti per legge e le manutenzioni necessarie a mantenere efficienti gli impianti come di</w:t>
      </w:r>
      <w:r>
        <w:t xml:space="preserve"> </w:t>
      </w:r>
      <w:r w:rsidRPr="00AF03F9">
        <w:t>seguito indicato:</w:t>
      </w:r>
      <w:r>
        <w:t xml:space="preserve"> </w:t>
      </w:r>
      <w:r>
        <w:tab/>
      </w:r>
      <w:r>
        <w:tab/>
        <w:t xml:space="preserve">       </w:t>
      </w:r>
      <w:r w:rsidRPr="00AF03F9">
        <w:t>• Controllo ed eventuale sostituzione degli estintori;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03F9">
        <w:t>• Controllo e verifica dell’impianto di terra;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03F9">
        <w:t>• Verifiche e controlli dell’impianto di riscaldamento;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03F9">
        <w:t>• Controllo e verifica dell’impianto autoclave ed addolcitore ove presente;</w:t>
      </w:r>
      <w:r>
        <w:tab/>
      </w:r>
      <w:r>
        <w:tab/>
      </w:r>
      <w:r>
        <w:tab/>
      </w:r>
      <w:r>
        <w:tab/>
        <w:t xml:space="preserve">       </w:t>
      </w:r>
      <w:r w:rsidRPr="00AF03F9">
        <w:t>• Controlli e verifica delle attrezzature sportive necessarie;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03F9">
        <w:t>• Manutenzione ordinaria</w:t>
      </w:r>
      <w:r w:rsidR="00A25ED1">
        <w:t xml:space="preserve"> e straordinaria </w:t>
      </w:r>
      <w:bookmarkStart w:id="0" w:name="_GoBack"/>
      <w:bookmarkEnd w:id="0"/>
      <w:r w:rsidRPr="00AF03F9">
        <w:t>dell’intera struttura, degli impianti tecnologici e di quanto</w:t>
      </w:r>
      <w:r>
        <w:t xml:space="preserve"> </w:t>
      </w:r>
      <w:r w:rsidRPr="00AF03F9">
        <w:t>presente all’interno della stessa</w:t>
      </w:r>
      <w:r>
        <w:t>.</w:t>
      </w:r>
    </w:p>
    <w:p w:rsidR="00AF03F9" w:rsidRDefault="00AF03F9" w:rsidP="00AF03F9">
      <w:pPr>
        <w:jc w:val="both"/>
      </w:pPr>
      <w:r w:rsidRPr="00AF03F9">
        <w:t>Il gestore al termine dell’affidamento dovrà restituire la struttura, gli impianti e quanto</w:t>
      </w:r>
      <w:r>
        <w:t xml:space="preserve"> </w:t>
      </w:r>
      <w:r w:rsidRPr="00AF03F9">
        <w:t>altro presente nella struttura pienamente efficienti, funzionanti ed omologati.</w:t>
      </w:r>
    </w:p>
    <w:p w:rsidR="00AF03F9" w:rsidRPr="00AF03F9" w:rsidRDefault="00AF03F9" w:rsidP="00AF03F9">
      <w:pPr>
        <w:jc w:val="both"/>
        <w:rPr>
          <w:b/>
          <w:bCs/>
        </w:rPr>
      </w:pPr>
      <w:r w:rsidRPr="00AF03F9">
        <w:rPr>
          <w:b/>
          <w:bCs/>
        </w:rPr>
        <w:t>Calcolo della spesa e prospetto economico</w:t>
      </w:r>
    </w:p>
    <w:p w:rsidR="00AF03F9" w:rsidRPr="00AF03F9" w:rsidRDefault="00AF03F9" w:rsidP="00AF03F9">
      <w:pPr>
        <w:jc w:val="both"/>
      </w:pPr>
      <w:r w:rsidRPr="00AF03F9">
        <w:t xml:space="preserve">Il valore complessivo del contratto, ai fini di cui all’art. 35 del </w:t>
      </w:r>
      <w:proofErr w:type="spellStart"/>
      <w:r w:rsidRPr="00AF03F9">
        <w:t>D.Lgs.</w:t>
      </w:r>
      <w:proofErr w:type="spellEnd"/>
      <w:r w:rsidRPr="00AF03F9">
        <w:t xml:space="preserve"> n. 50/2016,</w:t>
      </w:r>
      <w:r>
        <w:t xml:space="preserve"> </w:t>
      </w:r>
      <w:r w:rsidRPr="00AF03F9">
        <w:t xml:space="preserve">ammonta ad </w:t>
      </w:r>
      <w:r w:rsidRPr="005855EE">
        <w:t xml:space="preserve">€ </w:t>
      </w:r>
      <w:r w:rsidR="005855EE" w:rsidRPr="005855EE">
        <w:t>133.650</w:t>
      </w:r>
      <w:r w:rsidRPr="00AF03F9">
        <w:t xml:space="preserve"> conteggiata tenendo conto delle voci</w:t>
      </w:r>
      <w:r>
        <w:t xml:space="preserve"> </w:t>
      </w:r>
      <w:r w:rsidRPr="00AF03F9">
        <w:t xml:space="preserve">previste dall’art. 167 del </w:t>
      </w:r>
      <w:proofErr w:type="spellStart"/>
      <w:r w:rsidRPr="00AF03F9">
        <w:t>D.Lgs.</w:t>
      </w:r>
      <w:proofErr w:type="spellEnd"/>
      <w:r w:rsidRPr="00AF03F9">
        <w:t xml:space="preserve"> n. 50/2016, ovvero dagli introiti (al netto di IVA)</w:t>
      </w:r>
      <w:r w:rsidR="005855EE">
        <w:t xml:space="preserve"> </w:t>
      </w:r>
      <w:r w:rsidRPr="00AF03F9">
        <w:t>da parte del gestore, compreso l’utile di impresa, previsti per la concessione nel piano</w:t>
      </w:r>
      <w:r w:rsidR="00662705">
        <w:t xml:space="preserve"> </w:t>
      </w:r>
      <w:r w:rsidRPr="00AF03F9">
        <w:t>economico finanziario predisposto dal comune.</w:t>
      </w:r>
    </w:p>
    <w:p w:rsidR="00AF03F9" w:rsidRPr="00AF03F9" w:rsidRDefault="00AF03F9" w:rsidP="00AF03F9">
      <w:pPr>
        <w:jc w:val="both"/>
      </w:pPr>
      <w:r w:rsidRPr="00AF03F9">
        <w:t xml:space="preserve">E’ prevista la corresponsione da parte del soggetto gestore di un canone annuo pari ad </w:t>
      </w:r>
      <w:r w:rsidRPr="005855EE">
        <w:t>€</w:t>
      </w:r>
      <w:r w:rsidR="00662705" w:rsidRPr="005855EE">
        <w:t xml:space="preserve"> </w:t>
      </w:r>
      <w:r w:rsidR="004608AC">
        <w:t>4</w:t>
      </w:r>
      <w:r w:rsidR="005855EE" w:rsidRPr="005855EE">
        <w:t>.</w:t>
      </w:r>
      <w:r w:rsidR="004608AC">
        <w:t>2</w:t>
      </w:r>
      <w:r w:rsidR="005855EE" w:rsidRPr="005855EE">
        <w:t>00</w:t>
      </w:r>
      <w:r w:rsidR="00D54AF9">
        <w:t xml:space="preserve"> </w:t>
      </w:r>
      <w:r w:rsidRPr="00AF03F9">
        <w:t>oltre iva posto a base di gara, sul quale potranno essere presentate offerte in</w:t>
      </w:r>
      <w:r w:rsidR="00662705">
        <w:t xml:space="preserve"> </w:t>
      </w:r>
      <w:r w:rsidRPr="00AF03F9">
        <w:t>rialzo.</w:t>
      </w:r>
    </w:p>
    <w:p w:rsidR="00AF03F9" w:rsidRPr="005855EE" w:rsidRDefault="00AF03F9" w:rsidP="00AF03F9">
      <w:pPr>
        <w:jc w:val="both"/>
        <w:rPr>
          <w:highlight w:val="yellow"/>
        </w:rPr>
      </w:pPr>
      <w:r w:rsidRPr="00AF03F9">
        <w:t xml:space="preserve">L’importo a base di gara, per i tre anni </w:t>
      </w:r>
      <w:r w:rsidR="005855EE">
        <w:t xml:space="preserve">minimi </w:t>
      </w:r>
      <w:r w:rsidRPr="00AF03F9">
        <w:t xml:space="preserve">della durata contrattuale, è </w:t>
      </w:r>
      <w:r w:rsidRPr="005855EE">
        <w:t xml:space="preserve">€ </w:t>
      </w:r>
      <w:r w:rsidR="005855EE" w:rsidRPr="005855EE">
        <w:t>133.650</w:t>
      </w:r>
      <w:r w:rsidR="00D54AF9">
        <w:t xml:space="preserve"> </w:t>
      </w:r>
      <w:r w:rsidRPr="00AF03F9">
        <w:t xml:space="preserve"> oltre iva</w:t>
      </w:r>
      <w:r w:rsidR="00D54AF9">
        <w:t xml:space="preserve"> </w:t>
      </w:r>
      <w:r w:rsidRPr="00AF03F9">
        <w:t>al 22%.</w:t>
      </w:r>
    </w:p>
    <w:p w:rsidR="006539F7" w:rsidRDefault="00AF03F9" w:rsidP="006539F7">
      <w:pPr>
        <w:jc w:val="both"/>
      </w:pPr>
      <w:r w:rsidRPr="00AF03F9">
        <w:lastRenderedPageBreak/>
        <w:t>Il calcolo del</w:t>
      </w:r>
      <w:r w:rsidR="006539F7">
        <w:t xml:space="preserve"> costo aziendale dei dipendenti (</w:t>
      </w:r>
      <w:r w:rsidRPr="00AF03F9">
        <w:t>spese di custodia, pulizia e reception</w:t>
      </w:r>
      <w:r w:rsidR="006539F7">
        <w:t>)</w:t>
      </w:r>
      <w:r w:rsidRPr="00AF03F9">
        <w:t xml:space="preserve"> </w:t>
      </w:r>
      <w:r w:rsidR="006539F7">
        <w:t>è stato effettuato  valorizzando il livello di inquadramento riveniente dal C</w:t>
      </w:r>
      <w:r w:rsidR="006539F7" w:rsidRPr="006539F7">
        <w:t xml:space="preserve">ontratto </w:t>
      </w:r>
      <w:r w:rsidR="006539F7">
        <w:t>C</w:t>
      </w:r>
      <w:r w:rsidR="006539F7" w:rsidRPr="006539F7">
        <w:t xml:space="preserve">ollettivo </w:t>
      </w:r>
      <w:r w:rsidR="006539F7">
        <w:t>N</w:t>
      </w:r>
      <w:r w:rsidR="006539F7" w:rsidRPr="006539F7">
        <w:t xml:space="preserve">azionale di </w:t>
      </w:r>
      <w:r w:rsidR="006539F7">
        <w:t>L</w:t>
      </w:r>
      <w:r w:rsidR="006539F7" w:rsidRPr="006539F7">
        <w:t>avoro 22/12/2015</w:t>
      </w:r>
      <w:r w:rsidR="006539F7">
        <w:t xml:space="preserve"> </w:t>
      </w:r>
      <w:r w:rsidR="006539F7" w:rsidRPr="006539F7">
        <w:t>per i dipendenti degli impianti e delle attività sportive profit e no profit</w:t>
      </w:r>
      <w:r w:rsidR="006539F7">
        <w:t xml:space="preserve"> in relazione alla seguente ripartizione:</w:t>
      </w:r>
    </w:p>
    <w:p w:rsidR="006539F7" w:rsidRDefault="00AF03F9" w:rsidP="00AF03F9">
      <w:pPr>
        <w:jc w:val="both"/>
      </w:pPr>
      <w:r w:rsidRPr="00AF03F9">
        <w:t>- minimo 1 or</w:t>
      </w:r>
      <w:r w:rsidR="006539F7">
        <w:t>a</w:t>
      </w:r>
      <w:r w:rsidRPr="00AF03F9">
        <w:t xml:space="preserve"> </w:t>
      </w:r>
      <w:r w:rsidR="006539F7">
        <w:t>settimanale</w:t>
      </w:r>
      <w:r w:rsidRPr="00AF03F9">
        <w:t xml:space="preserve"> per la conduzione impianti tecnologici</w:t>
      </w:r>
      <w:r w:rsidR="006539F7">
        <w:t xml:space="preserve"> </w:t>
      </w:r>
      <w:r w:rsidR="006539F7" w:rsidRPr="00AF03F9">
        <w:t>per 4</w:t>
      </w:r>
      <w:r w:rsidR="006539F7">
        <w:t>5</w:t>
      </w:r>
      <w:r w:rsidR="006539F7" w:rsidRPr="00AF03F9">
        <w:t xml:space="preserve"> settimane</w:t>
      </w:r>
      <w:r w:rsidR="006539F7">
        <w:t>;</w:t>
      </w:r>
    </w:p>
    <w:p w:rsidR="006539F7" w:rsidRDefault="006539F7" w:rsidP="00AF03F9">
      <w:pPr>
        <w:jc w:val="both"/>
      </w:pPr>
      <w:r w:rsidRPr="00AF03F9">
        <w:t xml:space="preserve"> </w:t>
      </w:r>
      <w:r w:rsidR="00AF03F9" w:rsidRPr="00AF03F9">
        <w:t xml:space="preserve">- minimo </w:t>
      </w:r>
      <w:r>
        <w:t>10</w:t>
      </w:r>
      <w:r w:rsidR="00AF03F9" w:rsidRPr="00AF03F9">
        <w:t xml:space="preserve"> ore settimanali per la pulizia e custodia per 4</w:t>
      </w:r>
      <w:r>
        <w:t>5</w:t>
      </w:r>
      <w:r w:rsidR="00AF03F9" w:rsidRPr="00AF03F9">
        <w:t xml:space="preserve"> settimane</w:t>
      </w:r>
      <w:r>
        <w:t>;</w:t>
      </w:r>
    </w:p>
    <w:p w:rsidR="00AF03F9" w:rsidRPr="00AF03F9" w:rsidRDefault="00AF03F9" w:rsidP="00AF03F9">
      <w:pPr>
        <w:jc w:val="both"/>
      </w:pPr>
      <w:r w:rsidRPr="00AF03F9">
        <w:t xml:space="preserve">- minimo </w:t>
      </w:r>
      <w:r w:rsidR="006539F7">
        <w:t>7</w:t>
      </w:r>
      <w:r w:rsidRPr="00AF03F9">
        <w:t xml:space="preserve"> ore settimanali per 45 settimane</w:t>
      </w:r>
      <w:r w:rsidR="006539F7">
        <w:t>;</w:t>
      </w:r>
    </w:p>
    <w:p w:rsidR="00AF03F9" w:rsidRPr="00AF03F9" w:rsidRDefault="00AF03F9" w:rsidP="00AF03F9">
      <w:pPr>
        <w:jc w:val="both"/>
      </w:pPr>
      <w:r w:rsidRPr="00AF03F9">
        <w:t xml:space="preserve">Per un totale minimo di € </w:t>
      </w:r>
      <w:r w:rsidR="006539F7">
        <w:t>11.500</w:t>
      </w:r>
      <w:r w:rsidRPr="00AF03F9">
        <w:t>,00</w:t>
      </w:r>
      <w:r w:rsidR="00A81378">
        <w:t xml:space="preserve"> circa</w:t>
      </w:r>
      <w:r w:rsidRPr="00AF03F9">
        <w:t>.</w:t>
      </w:r>
    </w:p>
    <w:p w:rsidR="00AF03F9" w:rsidRPr="00AF03F9" w:rsidRDefault="00AF03F9" w:rsidP="00AF03F9">
      <w:pPr>
        <w:jc w:val="both"/>
      </w:pPr>
      <w:r w:rsidRPr="00AF03F9">
        <w:t>Si aggiung</w:t>
      </w:r>
      <w:r w:rsidR="006539F7">
        <w:t>e</w:t>
      </w:r>
      <w:r w:rsidRPr="00AF03F9">
        <w:t xml:space="preserve"> </w:t>
      </w:r>
      <w:r w:rsidR="006539F7">
        <w:t xml:space="preserve">inoltre il costo aziendale </w:t>
      </w:r>
      <w:r w:rsidRPr="00AF03F9">
        <w:t>della manodopera relativa alla manutenzione de</w:t>
      </w:r>
      <w:r w:rsidR="006539F7">
        <w:t>l</w:t>
      </w:r>
      <w:r w:rsidR="00D54AF9">
        <w:t xml:space="preserve"> </w:t>
      </w:r>
      <w:r w:rsidRPr="00AF03F9">
        <w:t>camp</w:t>
      </w:r>
      <w:r w:rsidR="006539F7">
        <w:t>o</w:t>
      </w:r>
      <w:r w:rsidRPr="00AF03F9">
        <w:t xml:space="preserve">, </w:t>
      </w:r>
      <w:r w:rsidR="006539F7">
        <w:t xml:space="preserve">stimata in un minimo di 12 ore settimanali per 45 settimane, </w:t>
      </w:r>
      <w:r w:rsidR="00D54AF9">
        <w:t xml:space="preserve"> </w:t>
      </w:r>
      <w:r w:rsidRPr="00AF03F9">
        <w:t xml:space="preserve">per un importo annuo di € </w:t>
      </w:r>
      <w:r w:rsidR="00A81378">
        <w:t>7.500 circa</w:t>
      </w:r>
      <w:r w:rsidRPr="00AF03F9">
        <w:t>.</w:t>
      </w:r>
    </w:p>
    <w:p w:rsidR="00AF03F9" w:rsidRPr="00AF03F9" w:rsidRDefault="00AF03F9" w:rsidP="00AF03F9">
      <w:pPr>
        <w:jc w:val="both"/>
      </w:pPr>
      <w:r w:rsidRPr="00AF03F9">
        <w:t>Ai sensi dell’art. 23, comma 16, del D.Lgs.n.50/2016, come modificato dal</w:t>
      </w:r>
      <w:r w:rsidR="00D54AF9">
        <w:t xml:space="preserve"> </w:t>
      </w:r>
      <w:r w:rsidRPr="00AF03F9">
        <w:t xml:space="preserve">D.Lgs.n.56/2017, il costo </w:t>
      </w:r>
      <w:r w:rsidR="00A81378">
        <w:t xml:space="preserve">aziendale </w:t>
      </w:r>
      <w:r w:rsidRPr="00AF03F9">
        <w:t>comple</w:t>
      </w:r>
      <w:r w:rsidR="00A81378">
        <w:t xml:space="preserve">ssivo della manodopera è pari ad </w:t>
      </w:r>
      <w:r w:rsidRPr="00AF03F9">
        <w:t xml:space="preserve">€ </w:t>
      </w:r>
      <w:r w:rsidR="005C7297">
        <w:t xml:space="preserve"> </w:t>
      </w:r>
      <w:r w:rsidR="005C7297" w:rsidRPr="00A81378">
        <w:t>1</w:t>
      </w:r>
      <w:r w:rsidR="00A81378" w:rsidRPr="00A81378">
        <w:t>9.000</w:t>
      </w:r>
      <w:r w:rsidR="005C7297" w:rsidRPr="00A81378">
        <w:t>,</w:t>
      </w:r>
      <w:r w:rsidR="00A81378" w:rsidRPr="00A81378">
        <w:t>00</w:t>
      </w:r>
      <w:r w:rsidR="005C7297">
        <w:t xml:space="preserve"> </w:t>
      </w:r>
      <w:r w:rsidRPr="00AF03F9">
        <w:t>valutando le attività di segreteria e reception, conduzione impianti tecnologici, pulizia e</w:t>
      </w:r>
      <w:r w:rsidR="005C7297">
        <w:t xml:space="preserve"> </w:t>
      </w:r>
      <w:r w:rsidR="00A81378">
        <w:t>custodia, e manutenzione del</w:t>
      </w:r>
      <w:r w:rsidRPr="00AF03F9">
        <w:t xml:space="preserve"> camp</w:t>
      </w:r>
      <w:r w:rsidR="00A81378">
        <w:t>o</w:t>
      </w:r>
      <w:r w:rsidRPr="00AF03F9">
        <w:t>.</w:t>
      </w:r>
    </w:p>
    <w:p w:rsidR="00AF03F9" w:rsidRPr="00AF03F9" w:rsidRDefault="00AF03F9" w:rsidP="00AF03F9">
      <w:pPr>
        <w:jc w:val="both"/>
      </w:pPr>
      <w:r w:rsidRPr="00AF03F9">
        <w:t>Non sono rilevati rischi da interferenza e pertanto non vi è obbligo di redazione del</w:t>
      </w:r>
      <w:r w:rsidR="005C7297">
        <w:t xml:space="preserve"> </w:t>
      </w:r>
      <w:r w:rsidRPr="00AF03F9">
        <w:t>DUVRI.</w:t>
      </w:r>
    </w:p>
    <w:p w:rsidR="005C7297" w:rsidRPr="005C7297" w:rsidRDefault="005C7297" w:rsidP="005C7297">
      <w:pPr>
        <w:jc w:val="both"/>
      </w:pPr>
      <w:r w:rsidRPr="005C7297">
        <w:t>Il Piano economico- finanziario è il seguente.</w:t>
      </w:r>
    </w:p>
    <w:p w:rsidR="005C7297" w:rsidRPr="005C7297" w:rsidRDefault="005C7297" w:rsidP="005C7297">
      <w:pPr>
        <w:jc w:val="both"/>
        <w:rPr>
          <w:b/>
          <w:bCs/>
          <w:i/>
          <w:iCs/>
        </w:rPr>
      </w:pPr>
      <w:r w:rsidRPr="005C7297">
        <w:rPr>
          <w:b/>
          <w:bCs/>
          <w:i/>
          <w:iCs/>
        </w:rPr>
        <w:t>Piano economico – finanziario impianto sportivo di calcio “</w:t>
      </w:r>
      <w:r w:rsidR="00A81378">
        <w:rPr>
          <w:b/>
          <w:bCs/>
          <w:i/>
          <w:iCs/>
        </w:rPr>
        <w:t>Giulio Nicosia</w:t>
      </w:r>
      <w:r w:rsidRPr="005C7297">
        <w:rPr>
          <w:b/>
          <w:bCs/>
          <w:i/>
          <w:iCs/>
        </w:rPr>
        <w:t xml:space="preserve">” </w:t>
      </w:r>
      <w:r>
        <w:rPr>
          <w:b/>
          <w:bCs/>
          <w:i/>
          <w:iCs/>
        </w:rPr>
        <w:t>– Frazione Piano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732"/>
      </w:tblGrid>
      <w:tr w:rsidR="001A72EF" w:rsidTr="001A72EF">
        <w:tc>
          <w:tcPr>
            <w:tcW w:w="4644" w:type="dxa"/>
          </w:tcPr>
          <w:p w:rsidR="001A72EF" w:rsidRPr="001A72EF" w:rsidRDefault="001A72EF" w:rsidP="001A72EF">
            <w:pPr>
              <w:jc w:val="center"/>
              <w:rPr>
                <w:b/>
                <w:sz w:val="28"/>
                <w:szCs w:val="28"/>
              </w:rPr>
            </w:pPr>
            <w:r w:rsidRPr="001A72EF">
              <w:rPr>
                <w:b/>
                <w:sz w:val="28"/>
                <w:szCs w:val="28"/>
              </w:rPr>
              <w:t>INTROITI</w:t>
            </w:r>
          </w:p>
        </w:tc>
        <w:tc>
          <w:tcPr>
            <w:tcW w:w="1701" w:type="dxa"/>
          </w:tcPr>
          <w:p w:rsidR="001A72EF" w:rsidRDefault="00376068" w:rsidP="00376068">
            <w:pPr>
              <w:jc w:val="center"/>
            </w:pPr>
            <w:r>
              <w:t>1° anno</w:t>
            </w:r>
          </w:p>
        </w:tc>
        <w:tc>
          <w:tcPr>
            <w:tcW w:w="1701" w:type="dxa"/>
          </w:tcPr>
          <w:p w:rsidR="001A72EF" w:rsidRDefault="00376068" w:rsidP="00376068">
            <w:pPr>
              <w:jc w:val="center"/>
            </w:pPr>
            <w:r>
              <w:t>2° anno</w:t>
            </w:r>
          </w:p>
        </w:tc>
        <w:tc>
          <w:tcPr>
            <w:tcW w:w="1732" w:type="dxa"/>
          </w:tcPr>
          <w:p w:rsidR="001A72EF" w:rsidRDefault="00376068" w:rsidP="00376068">
            <w:pPr>
              <w:jc w:val="center"/>
            </w:pPr>
            <w:r>
              <w:t>3° anno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D7342B">
            <w:pPr>
              <w:jc w:val="both"/>
            </w:pPr>
            <w:r>
              <w:t xml:space="preserve">110 Euro * 5 * 45 (settimana) – Da </w:t>
            </w:r>
            <w:proofErr w:type="spellStart"/>
            <w:r>
              <w:t>lun</w:t>
            </w:r>
            <w:proofErr w:type="spellEnd"/>
            <w:r>
              <w:t xml:space="preserve"> al </w:t>
            </w:r>
            <w:proofErr w:type="spellStart"/>
            <w:r>
              <w:t>ven</w:t>
            </w:r>
            <w:proofErr w:type="spellEnd"/>
          </w:p>
        </w:tc>
        <w:tc>
          <w:tcPr>
            <w:tcW w:w="1701" w:type="dxa"/>
          </w:tcPr>
          <w:p w:rsidR="00D7342B" w:rsidRDefault="00D7342B" w:rsidP="00D7342B">
            <w:pPr>
              <w:jc w:val="center"/>
            </w:pPr>
            <w:r>
              <w:t>24.750</w:t>
            </w:r>
          </w:p>
        </w:tc>
        <w:tc>
          <w:tcPr>
            <w:tcW w:w="1701" w:type="dxa"/>
          </w:tcPr>
          <w:p w:rsidR="00D7342B" w:rsidRDefault="00D7342B" w:rsidP="006E549E">
            <w:pPr>
              <w:jc w:val="center"/>
            </w:pPr>
            <w:r>
              <w:t>24.750</w:t>
            </w:r>
          </w:p>
        </w:tc>
        <w:tc>
          <w:tcPr>
            <w:tcW w:w="1732" w:type="dxa"/>
          </w:tcPr>
          <w:p w:rsidR="00D7342B" w:rsidRDefault="00D7342B" w:rsidP="006E549E">
            <w:pPr>
              <w:jc w:val="center"/>
            </w:pPr>
            <w:r>
              <w:t>24.750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D7342B">
            <w:pPr>
              <w:jc w:val="both"/>
            </w:pPr>
            <w:r>
              <w:t xml:space="preserve">220 euro * 2 * 45 (settimana) – </w:t>
            </w:r>
            <w:proofErr w:type="spellStart"/>
            <w:r>
              <w:t>Sab</w:t>
            </w:r>
            <w:proofErr w:type="spellEnd"/>
            <w:r>
              <w:t xml:space="preserve"> e </w:t>
            </w:r>
            <w:proofErr w:type="spellStart"/>
            <w:r>
              <w:t>dom</w:t>
            </w:r>
            <w:proofErr w:type="spellEnd"/>
          </w:p>
        </w:tc>
        <w:tc>
          <w:tcPr>
            <w:tcW w:w="1701" w:type="dxa"/>
          </w:tcPr>
          <w:p w:rsidR="00D7342B" w:rsidRDefault="00D7342B" w:rsidP="00D7342B">
            <w:pPr>
              <w:jc w:val="center"/>
            </w:pPr>
            <w:r>
              <w:t>19.800</w:t>
            </w:r>
          </w:p>
        </w:tc>
        <w:tc>
          <w:tcPr>
            <w:tcW w:w="1701" w:type="dxa"/>
          </w:tcPr>
          <w:p w:rsidR="00D7342B" w:rsidRDefault="00D7342B" w:rsidP="006E549E">
            <w:pPr>
              <w:jc w:val="center"/>
            </w:pPr>
            <w:r>
              <w:t>19.800</w:t>
            </w:r>
          </w:p>
        </w:tc>
        <w:tc>
          <w:tcPr>
            <w:tcW w:w="1732" w:type="dxa"/>
          </w:tcPr>
          <w:p w:rsidR="00D7342B" w:rsidRDefault="00D7342B" w:rsidP="006E549E">
            <w:pPr>
              <w:jc w:val="center"/>
            </w:pPr>
            <w:r>
              <w:t>19.800</w:t>
            </w:r>
          </w:p>
        </w:tc>
      </w:tr>
      <w:tr w:rsidR="00D7342B" w:rsidRPr="00F617EA" w:rsidTr="001A72EF">
        <w:tc>
          <w:tcPr>
            <w:tcW w:w="4644" w:type="dxa"/>
          </w:tcPr>
          <w:p w:rsidR="00D7342B" w:rsidRPr="00F617EA" w:rsidRDefault="00D7342B" w:rsidP="00F617EA">
            <w:pPr>
              <w:jc w:val="right"/>
              <w:rPr>
                <w:b/>
              </w:rPr>
            </w:pPr>
            <w:r w:rsidRPr="00F617EA">
              <w:rPr>
                <w:b/>
              </w:rPr>
              <w:t>TOTALE</w:t>
            </w:r>
          </w:p>
        </w:tc>
        <w:tc>
          <w:tcPr>
            <w:tcW w:w="1701" w:type="dxa"/>
          </w:tcPr>
          <w:p w:rsidR="00D7342B" w:rsidRPr="00F617EA" w:rsidRDefault="00D7342B" w:rsidP="00D7342B">
            <w:pPr>
              <w:jc w:val="center"/>
              <w:rPr>
                <w:b/>
              </w:rPr>
            </w:pPr>
            <w:r w:rsidRPr="00F617EA">
              <w:rPr>
                <w:b/>
              </w:rPr>
              <w:t>4</w:t>
            </w:r>
            <w:r>
              <w:rPr>
                <w:b/>
              </w:rPr>
              <w:t>4</w:t>
            </w:r>
            <w:r w:rsidRPr="00F617EA">
              <w:rPr>
                <w:b/>
              </w:rPr>
              <w:t>.</w:t>
            </w:r>
            <w:r>
              <w:rPr>
                <w:b/>
              </w:rPr>
              <w:t>55</w:t>
            </w:r>
            <w:r w:rsidRPr="00F617EA">
              <w:rPr>
                <w:b/>
              </w:rPr>
              <w:t>0</w:t>
            </w:r>
          </w:p>
        </w:tc>
        <w:tc>
          <w:tcPr>
            <w:tcW w:w="1701" w:type="dxa"/>
          </w:tcPr>
          <w:p w:rsidR="00D7342B" w:rsidRPr="00F617EA" w:rsidRDefault="00D7342B" w:rsidP="006E549E">
            <w:pPr>
              <w:jc w:val="center"/>
              <w:rPr>
                <w:b/>
              </w:rPr>
            </w:pPr>
            <w:r w:rsidRPr="00F617EA">
              <w:rPr>
                <w:b/>
              </w:rPr>
              <w:t>4</w:t>
            </w:r>
            <w:r>
              <w:rPr>
                <w:b/>
              </w:rPr>
              <w:t>4</w:t>
            </w:r>
            <w:r w:rsidRPr="00F617EA">
              <w:rPr>
                <w:b/>
              </w:rPr>
              <w:t>.</w:t>
            </w:r>
            <w:r>
              <w:rPr>
                <w:b/>
              </w:rPr>
              <w:t>55</w:t>
            </w:r>
            <w:r w:rsidRPr="00F617EA">
              <w:rPr>
                <w:b/>
              </w:rPr>
              <w:t>0</w:t>
            </w:r>
          </w:p>
        </w:tc>
        <w:tc>
          <w:tcPr>
            <w:tcW w:w="1732" w:type="dxa"/>
          </w:tcPr>
          <w:p w:rsidR="00D7342B" w:rsidRPr="00F617EA" w:rsidRDefault="00D7342B" w:rsidP="006E549E">
            <w:pPr>
              <w:jc w:val="center"/>
              <w:rPr>
                <w:b/>
              </w:rPr>
            </w:pPr>
            <w:r w:rsidRPr="00F617EA">
              <w:rPr>
                <w:b/>
              </w:rPr>
              <w:t>4</w:t>
            </w:r>
            <w:r>
              <w:rPr>
                <w:b/>
              </w:rPr>
              <w:t>4</w:t>
            </w:r>
            <w:r w:rsidRPr="00F617EA">
              <w:rPr>
                <w:b/>
              </w:rPr>
              <w:t>.</w:t>
            </w:r>
            <w:r>
              <w:rPr>
                <w:b/>
              </w:rPr>
              <w:t>55</w:t>
            </w:r>
            <w:r w:rsidRPr="00F617EA">
              <w:rPr>
                <w:b/>
              </w:rPr>
              <w:t>0</w:t>
            </w:r>
          </w:p>
        </w:tc>
      </w:tr>
      <w:tr w:rsidR="00376068" w:rsidTr="001A72EF">
        <w:tc>
          <w:tcPr>
            <w:tcW w:w="4644" w:type="dxa"/>
          </w:tcPr>
          <w:p w:rsidR="00376068" w:rsidRDefault="00376068" w:rsidP="005C7297">
            <w:pPr>
              <w:jc w:val="both"/>
            </w:pPr>
          </w:p>
        </w:tc>
        <w:tc>
          <w:tcPr>
            <w:tcW w:w="1701" w:type="dxa"/>
          </w:tcPr>
          <w:p w:rsidR="00376068" w:rsidRDefault="00376068" w:rsidP="00376068">
            <w:pPr>
              <w:jc w:val="center"/>
            </w:pPr>
          </w:p>
        </w:tc>
        <w:tc>
          <w:tcPr>
            <w:tcW w:w="1701" w:type="dxa"/>
          </w:tcPr>
          <w:p w:rsidR="00376068" w:rsidRDefault="00376068" w:rsidP="00376068">
            <w:pPr>
              <w:jc w:val="center"/>
            </w:pPr>
          </w:p>
        </w:tc>
        <w:tc>
          <w:tcPr>
            <w:tcW w:w="1732" w:type="dxa"/>
          </w:tcPr>
          <w:p w:rsidR="00376068" w:rsidRDefault="00376068" w:rsidP="00376068">
            <w:pPr>
              <w:jc w:val="center"/>
            </w:pPr>
          </w:p>
        </w:tc>
      </w:tr>
      <w:tr w:rsidR="00376068" w:rsidTr="001A72EF">
        <w:tc>
          <w:tcPr>
            <w:tcW w:w="4644" w:type="dxa"/>
          </w:tcPr>
          <w:p w:rsidR="00376068" w:rsidRPr="001A72EF" w:rsidRDefault="00376068" w:rsidP="001A72EF">
            <w:pPr>
              <w:jc w:val="center"/>
              <w:rPr>
                <w:b/>
                <w:sz w:val="28"/>
                <w:szCs w:val="28"/>
              </w:rPr>
            </w:pPr>
            <w:r w:rsidRPr="001A72EF">
              <w:rPr>
                <w:b/>
                <w:sz w:val="28"/>
                <w:szCs w:val="28"/>
              </w:rPr>
              <w:t>SPESE</w:t>
            </w:r>
          </w:p>
        </w:tc>
        <w:tc>
          <w:tcPr>
            <w:tcW w:w="1701" w:type="dxa"/>
          </w:tcPr>
          <w:p w:rsidR="00376068" w:rsidRDefault="00376068" w:rsidP="00376068">
            <w:pPr>
              <w:jc w:val="center"/>
            </w:pPr>
          </w:p>
        </w:tc>
        <w:tc>
          <w:tcPr>
            <w:tcW w:w="1701" w:type="dxa"/>
          </w:tcPr>
          <w:p w:rsidR="00376068" w:rsidRDefault="00376068" w:rsidP="00376068">
            <w:pPr>
              <w:jc w:val="center"/>
            </w:pPr>
          </w:p>
        </w:tc>
        <w:tc>
          <w:tcPr>
            <w:tcW w:w="1732" w:type="dxa"/>
          </w:tcPr>
          <w:p w:rsidR="00376068" w:rsidRDefault="00376068" w:rsidP="00376068">
            <w:pPr>
              <w:jc w:val="center"/>
            </w:pPr>
          </w:p>
        </w:tc>
      </w:tr>
      <w:tr w:rsidR="00D7342B" w:rsidTr="001A72EF">
        <w:tc>
          <w:tcPr>
            <w:tcW w:w="4644" w:type="dxa"/>
          </w:tcPr>
          <w:p w:rsidR="00D7342B" w:rsidRDefault="00D7342B" w:rsidP="005C7297">
            <w:pPr>
              <w:jc w:val="both"/>
            </w:pPr>
            <w:r>
              <w:t>Personale (custodia pulizia e manutenzione)</w:t>
            </w:r>
          </w:p>
        </w:tc>
        <w:tc>
          <w:tcPr>
            <w:tcW w:w="1701" w:type="dxa"/>
          </w:tcPr>
          <w:p w:rsidR="00D7342B" w:rsidRDefault="00D7342B" w:rsidP="00164DB4">
            <w:pPr>
              <w:jc w:val="center"/>
            </w:pPr>
            <w:r>
              <w:t>19.000</w:t>
            </w:r>
          </w:p>
        </w:tc>
        <w:tc>
          <w:tcPr>
            <w:tcW w:w="1701" w:type="dxa"/>
          </w:tcPr>
          <w:p w:rsidR="00D7342B" w:rsidRPr="00D7342B" w:rsidRDefault="00D7342B" w:rsidP="006E549E">
            <w:pPr>
              <w:jc w:val="center"/>
            </w:pPr>
            <w:r w:rsidRPr="00D7342B">
              <w:t>19.000</w:t>
            </w:r>
          </w:p>
        </w:tc>
        <w:tc>
          <w:tcPr>
            <w:tcW w:w="1732" w:type="dxa"/>
          </w:tcPr>
          <w:p w:rsidR="00D7342B" w:rsidRPr="00D7342B" w:rsidRDefault="00D7342B" w:rsidP="006E549E">
            <w:pPr>
              <w:jc w:val="center"/>
            </w:pPr>
            <w:r w:rsidRPr="00D7342B">
              <w:t>19.000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5C7297">
            <w:pPr>
              <w:jc w:val="both"/>
            </w:pPr>
            <w:r>
              <w:t>Utenze</w:t>
            </w:r>
          </w:p>
        </w:tc>
        <w:tc>
          <w:tcPr>
            <w:tcW w:w="1701" w:type="dxa"/>
          </w:tcPr>
          <w:p w:rsidR="00D7342B" w:rsidRDefault="00D7342B" w:rsidP="00D7342B">
            <w:pPr>
              <w:jc w:val="center"/>
            </w:pPr>
            <w:r>
              <w:t>5.000</w:t>
            </w:r>
          </w:p>
        </w:tc>
        <w:tc>
          <w:tcPr>
            <w:tcW w:w="1701" w:type="dxa"/>
          </w:tcPr>
          <w:p w:rsidR="00D7342B" w:rsidRPr="00D7342B" w:rsidRDefault="00D7342B" w:rsidP="006E549E">
            <w:pPr>
              <w:jc w:val="center"/>
            </w:pPr>
            <w:r w:rsidRPr="00D7342B">
              <w:t>5.000</w:t>
            </w:r>
          </w:p>
        </w:tc>
        <w:tc>
          <w:tcPr>
            <w:tcW w:w="1732" w:type="dxa"/>
          </w:tcPr>
          <w:p w:rsidR="00D7342B" w:rsidRPr="00D7342B" w:rsidRDefault="00D7342B" w:rsidP="006E549E">
            <w:pPr>
              <w:jc w:val="center"/>
            </w:pPr>
            <w:r w:rsidRPr="00D7342B">
              <w:t>5.000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5C7297">
            <w:pPr>
              <w:jc w:val="both"/>
            </w:pPr>
            <w:r>
              <w:t>Spese generali</w:t>
            </w:r>
          </w:p>
        </w:tc>
        <w:tc>
          <w:tcPr>
            <w:tcW w:w="1701" w:type="dxa"/>
          </w:tcPr>
          <w:p w:rsidR="00D7342B" w:rsidRDefault="00D7342B" w:rsidP="00D7342B">
            <w:pPr>
              <w:jc w:val="center"/>
            </w:pPr>
            <w:r>
              <w:t>4.000</w:t>
            </w:r>
          </w:p>
        </w:tc>
        <w:tc>
          <w:tcPr>
            <w:tcW w:w="1701" w:type="dxa"/>
          </w:tcPr>
          <w:p w:rsidR="00D7342B" w:rsidRPr="00D7342B" w:rsidRDefault="00D7342B" w:rsidP="006E549E">
            <w:pPr>
              <w:jc w:val="center"/>
            </w:pPr>
            <w:r w:rsidRPr="00D7342B">
              <w:t>4.000</w:t>
            </w:r>
          </w:p>
        </w:tc>
        <w:tc>
          <w:tcPr>
            <w:tcW w:w="1732" w:type="dxa"/>
          </w:tcPr>
          <w:p w:rsidR="00D7342B" w:rsidRPr="00D7342B" w:rsidRDefault="00D7342B" w:rsidP="006E549E">
            <w:pPr>
              <w:jc w:val="center"/>
            </w:pPr>
            <w:r w:rsidRPr="00D7342B">
              <w:t>4.000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5C7297">
            <w:pPr>
              <w:jc w:val="both"/>
            </w:pPr>
            <w:r>
              <w:t>Spese sicurezza</w:t>
            </w:r>
          </w:p>
        </w:tc>
        <w:tc>
          <w:tcPr>
            <w:tcW w:w="1701" w:type="dxa"/>
          </w:tcPr>
          <w:p w:rsidR="00D7342B" w:rsidRDefault="00D7342B" w:rsidP="00376068">
            <w:pPr>
              <w:jc w:val="center"/>
            </w:pPr>
            <w:r>
              <w:t>2.000</w:t>
            </w:r>
          </w:p>
        </w:tc>
        <w:tc>
          <w:tcPr>
            <w:tcW w:w="1701" w:type="dxa"/>
          </w:tcPr>
          <w:p w:rsidR="00D7342B" w:rsidRPr="00D7342B" w:rsidRDefault="00D7342B" w:rsidP="006E549E">
            <w:pPr>
              <w:jc w:val="center"/>
            </w:pPr>
            <w:r w:rsidRPr="00D7342B">
              <w:t>2.000</w:t>
            </w:r>
          </w:p>
        </w:tc>
        <w:tc>
          <w:tcPr>
            <w:tcW w:w="1732" w:type="dxa"/>
          </w:tcPr>
          <w:p w:rsidR="00D7342B" w:rsidRPr="00D7342B" w:rsidRDefault="00D7342B" w:rsidP="006E549E">
            <w:pPr>
              <w:jc w:val="center"/>
            </w:pPr>
            <w:r w:rsidRPr="00D7342B">
              <w:t>2.000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5C7297">
            <w:pPr>
              <w:jc w:val="both"/>
            </w:pPr>
            <w:r>
              <w:t xml:space="preserve">Canone </w:t>
            </w:r>
          </w:p>
        </w:tc>
        <w:tc>
          <w:tcPr>
            <w:tcW w:w="1701" w:type="dxa"/>
          </w:tcPr>
          <w:p w:rsidR="00D7342B" w:rsidRDefault="00F231AC" w:rsidP="00F231AC">
            <w:pPr>
              <w:jc w:val="center"/>
            </w:pPr>
            <w:r>
              <w:t>4</w:t>
            </w:r>
            <w:r w:rsidR="00D7342B">
              <w:t>.</w:t>
            </w:r>
            <w:r>
              <w:t>2</w:t>
            </w:r>
            <w:r w:rsidR="00D7342B">
              <w:t>00</w:t>
            </w:r>
          </w:p>
        </w:tc>
        <w:tc>
          <w:tcPr>
            <w:tcW w:w="1701" w:type="dxa"/>
          </w:tcPr>
          <w:p w:rsidR="00D7342B" w:rsidRPr="00D7342B" w:rsidRDefault="00F231AC" w:rsidP="006E549E">
            <w:pPr>
              <w:jc w:val="center"/>
            </w:pPr>
            <w:r>
              <w:t>4.200</w:t>
            </w:r>
          </w:p>
        </w:tc>
        <w:tc>
          <w:tcPr>
            <w:tcW w:w="1732" w:type="dxa"/>
          </w:tcPr>
          <w:p w:rsidR="00D7342B" w:rsidRPr="00D7342B" w:rsidRDefault="00F231AC" w:rsidP="006E549E">
            <w:pPr>
              <w:jc w:val="center"/>
            </w:pPr>
            <w:r>
              <w:t>4.200</w:t>
            </w:r>
          </w:p>
        </w:tc>
      </w:tr>
      <w:tr w:rsidR="00D7342B" w:rsidTr="001A72EF">
        <w:tc>
          <w:tcPr>
            <w:tcW w:w="4644" w:type="dxa"/>
          </w:tcPr>
          <w:p w:rsidR="00D7342B" w:rsidRDefault="00D7342B" w:rsidP="005C7297">
            <w:pPr>
              <w:jc w:val="both"/>
            </w:pPr>
            <w:r>
              <w:t xml:space="preserve">Utile d’impresa </w:t>
            </w:r>
          </w:p>
        </w:tc>
        <w:tc>
          <w:tcPr>
            <w:tcW w:w="1701" w:type="dxa"/>
          </w:tcPr>
          <w:p w:rsidR="00D7342B" w:rsidRDefault="00F231AC" w:rsidP="00164DB4">
            <w:pPr>
              <w:jc w:val="center"/>
            </w:pPr>
            <w:r>
              <w:t>10.350</w:t>
            </w:r>
          </w:p>
        </w:tc>
        <w:tc>
          <w:tcPr>
            <w:tcW w:w="1701" w:type="dxa"/>
          </w:tcPr>
          <w:p w:rsidR="00D7342B" w:rsidRPr="00D7342B" w:rsidRDefault="00F231AC" w:rsidP="006E549E">
            <w:pPr>
              <w:jc w:val="center"/>
            </w:pPr>
            <w:r>
              <w:t>10.350</w:t>
            </w:r>
          </w:p>
        </w:tc>
        <w:tc>
          <w:tcPr>
            <w:tcW w:w="1732" w:type="dxa"/>
          </w:tcPr>
          <w:p w:rsidR="00D7342B" w:rsidRPr="00D7342B" w:rsidRDefault="00F231AC" w:rsidP="006E549E">
            <w:pPr>
              <w:jc w:val="center"/>
            </w:pPr>
            <w:r>
              <w:t>10.350</w:t>
            </w:r>
          </w:p>
        </w:tc>
      </w:tr>
      <w:tr w:rsidR="00D7342B" w:rsidRPr="00F617EA" w:rsidTr="001A72EF">
        <w:tc>
          <w:tcPr>
            <w:tcW w:w="4644" w:type="dxa"/>
          </w:tcPr>
          <w:p w:rsidR="00D7342B" w:rsidRPr="00F617EA" w:rsidRDefault="00D7342B" w:rsidP="005E22F9">
            <w:pPr>
              <w:jc w:val="right"/>
              <w:rPr>
                <w:b/>
              </w:rPr>
            </w:pPr>
            <w:r w:rsidRPr="00F617EA">
              <w:rPr>
                <w:b/>
              </w:rPr>
              <w:t>TOTALE</w:t>
            </w:r>
          </w:p>
        </w:tc>
        <w:tc>
          <w:tcPr>
            <w:tcW w:w="1701" w:type="dxa"/>
          </w:tcPr>
          <w:p w:rsidR="00D7342B" w:rsidRPr="00F617EA" w:rsidRDefault="00D7342B" w:rsidP="00D7342B">
            <w:pPr>
              <w:jc w:val="center"/>
              <w:rPr>
                <w:b/>
              </w:rPr>
            </w:pPr>
            <w:r w:rsidRPr="00F617EA">
              <w:rPr>
                <w:b/>
              </w:rPr>
              <w:t>4</w:t>
            </w:r>
            <w:r>
              <w:rPr>
                <w:b/>
              </w:rPr>
              <w:t>4</w:t>
            </w:r>
            <w:r w:rsidRPr="00F617EA">
              <w:rPr>
                <w:b/>
              </w:rPr>
              <w:t>.</w:t>
            </w:r>
            <w:r>
              <w:rPr>
                <w:b/>
              </w:rPr>
              <w:t>55</w:t>
            </w:r>
            <w:r w:rsidRPr="00F617EA">
              <w:rPr>
                <w:b/>
              </w:rPr>
              <w:t>0</w:t>
            </w:r>
          </w:p>
        </w:tc>
        <w:tc>
          <w:tcPr>
            <w:tcW w:w="1701" w:type="dxa"/>
          </w:tcPr>
          <w:p w:rsidR="00D7342B" w:rsidRPr="00D7342B" w:rsidRDefault="00D7342B" w:rsidP="006E549E">
            <w:pPr>
              <w:jc w:val="center"/>
              <w:rPr>
                <w:b/>
              </w:rPr>
            </w:pPr>
            <w:r w:rsidRPr="00D7342B">
              <w:rPr>
                <w:b/>
              </w:rPr>
              <w:t>44.550</w:t>
            </w:r>
          </w:p>
        </w:tc>
        <w:tc>
          <w:tcPr>
            <w:tcW w:w="1732" w:type="dxa"/>
          </w:tcPr>
          <w:p w:rsidR="00D7342B" w:rsidRPr="00D7342B" w:rsidRDefault="00D7342B" w:rsidP="006E549E">
            <w:pPr>
              <w:jc w:val="center"/>
              <w:rPr>
                <w:b/>
              </w:rPr>
            </w:pPr>
            <w:r w:rsidRPr="00D7342B">
              <w:rPr>
                <w:b/>
              </w:rPr>
              <w:t>44.550</w:t>
            </w:r>
          </w:p>
        </w:tc>
      </w:tr>
    </w:tbl>
    <w:p w:rsidR="00D72912" w:rsidRDefault="00D72912" w:rsidP="005C7297">
      <w:pPr>
        <w:jc w:val="both"/>
        <w:rPr>
          <w:b/>
          <w:bCs/>
        </w:rPr>
      </w:pPr>
    </w:p>
    <w:p w:rsidR="005C7297" w:rsidRPr="005C7297" w:rsidRDefault="005C7297" w:rsidP="005C7297">
      <w:pPr>
        <w:jc w:val="both"/>
        <w:rPr>
          <w:b/>
          <w:bCs/>
        </w:rPr>
      </w:pPr>
      <w:r w:rsidRPr="005C7297">
        <w:rPr>
          <w:b/>
          <w:bCs/>
        </w:rPr>
        <w:t>Procedura di affidamento della concessione</w:t>
      </w:r>
    </w:p>
    <w:p w:rsidR="006D538C" w:rsidRPr="006D538C" w:rsidRDefault="005C7297" w:rsidP="006D538C">
      <w:pPr>
        <w:jc w:val="both"/>
      </w:pPr>
      <w:r w:rsidRPr="005C7297">
        <w:t xml:space="preserve">Il Comune di </w:t>
      </w:r>
      <w:r w:rsidR="00376068">
        <w:t>Tremestieri Etneo</w:t>
      </w:r>
      <w:r w:rsidR="00997156">
        <w:t>,</w:t>
      </w:r>
      <w:r w:rsidRPr="005C7297">
        <w:t xml:space="preserve"> </w:t>
      </w:r>
      <w:r w:rsidR="00997156" w:rsidRPr="005C7297">
        <w:t xml:space="preserve">ai sensi dell’art. 3, comma 1, lett. </w:t>
      </w:r>
      <w:proofErr w:type="spellStart"/>
      <w:r w:rsidR="00997156" w:rsidRPr="005C7297">
        <w:t>vv</w:t>
      </w:r>
      <w:proofErr w:type="spellEnd"/>
      <w:r w:rsidR="00997156" w:rsidRPr="005C7297">
        <w:t xml:space="preserve">) del </w:t>
      </w:r>
      <w:proofErr w:type="spellStart"/>
      <w:r w:rsidR="00997156" w:rsidRPr="005C7297">
        <w:t>D.Lgs.n</w:t>
      </w:r>
      <w:proofErr w:type="spellEnd"/>
      <w:r w:rsidR="00997156" w:rsidRPr="005C7297">
        <w:t>. 50/2016</w:t>
      </w:r>
      <w:r w:rsidR="00997156">
        <w:t xml:space="preserve">, </w:t>
      </w:r>
      <w:r w:rsidRPr="005C7297">
        <w:t>ha predisposto il progetto per l’affidamento della concessione</w:t>
      </w:r>
      <w:r w:rsidR="00376068">
        <w:t xml:space="preserve"> </w:t>
      </w:r>
      <w:r w:rsidRPr="005C7297">
        <w:t>del servizio di gestione dell’impianto sportivo di calcio “</w:t>
      </w:r>
      <w:r w:rsidR="00997156">
        <w:t>Giulio Nicosia”</w:t>
      </w:r>
      <w:r w:rsidRPr="005C7297">
        <w:t xml:space="preserve">, sito in </w:t>
      </w:r>
      <w:r w:rsidR="00376068">
        <w:t xml:space="preserve">Tremestieri Etneo </w:t>
      </w:r>
      <w:r w:rsidR="00997156">
        <w:t xml:space="preserve">- </w:t>
      </w:r>
      <w:r w:rsidRPr="005C7297">
        <w:t xml:space="preserve">frazione </w:t>
      </w:r>
      <w:r w:rsidR="00376068">
        <w:t>Piano</w:t>
      </w:r>
      <w:r w:rsidRPr="005C7297">
        <w:t xml:space="preserve"> </w:t>
      </w:r>
      <w:r w:rsidR="00997156">
        <w:t xml:space="preserve">- </w:t>
      </w:r>
      <w:r w:rsidRPr="005C7297">
        <w:t xml:space="preserve">Via </w:t>
      </w:r>
      <w:r w:rsidR="00376068">
        <w:t>Etnea</w:t>
      </w:r>
      <w:r w:rsidRPr="005C7297">
        <w:t>.</w:t>
      </w:r>
      <w:r w:rsidR="00376068">
        <w:t xml:space="preserve"> </w:t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  <w:t xml:space="preserve">     </w:t>
      </w:r>
      <w:r w:rsidRPr="005C7297">
        <w:t>L’amministrazione non ritiene opportuno procedere all’amministrazione diretta in quanto</w:t>
      </w:r>
      <w:r w:rsidR="00376068">
        <w:t xml:space="preserve"> </w:t>
      </w:r>
      <w:r w:rsidRPr="005C7297">
        <w:t>non ha in organico personale sufficiente per la gestione del servizio nonché capacità di</w:t>
      </w:r>
      <w:r w:rsidR="00376068">
        <w:t xml:space="preserve"> </w:t>
      </w:r>
      <w:r w:rsidRPr="005C7297">
        <w:t>gestione di tale struttura, pertanto si procederà ad individuare, mediante procedura</w:t>
      </w:r>
      <w:r w:rsidR="00376068">
        <w:t xml:space="preserve"> </w:t>
      </w:r>
      <w:r w:rsidRPr="005C7297">
        <w:t>aperta, un soggetto concessionario.</w:t>
      </w:r>
      <w:r w:rsidR="00D72912">
        <w:t xml:space="preserve"> </w:t>
      </w:r>
      <w:r w:rsidR="006D538C" w:rsidRPr="006D538C">
        <w:t>L’affidamento avverrà con procedura aperta secondo la disciplina prevista dagli artt. 60 e</w:t>
      </w:r>
      <w:r w:rsidR="006D538C">
        <w:t xml:space="preserve"> </w:t>
      </w:r>
      <w:r w:rsidR="006D538C" w:rsidRPr="006D538C">
        <w:t xml:space="preserve">164 e ss. del </w:t>
      </w:r>
      <w:proofErr w:type="spellStart"/>
      <w:r w:rsidR="006D538C" w:rsidRPr="006D538C">
        <w:t>D.Lgs.n</w:t>
      </w:r>
      <w:proofErr w:type="spellEnd"/>
      <w:r w:rsidR="006D538C" w:rsidRPr="006D538C">
        <w:t>. 50/2016 “Attuazione delle direttive 2014/23/UE, 2014/24/UE e</w:t>
      </w:r>
      <w:r w:rsidR="006D538C">
        <w:t xml:space="preserve"> </w:t>
      </w:r>
      <w:r w:rsidR="006D538C" w:rsidRPr="006D538C">
        <w:t xml:space="preserve">2014/25/UE sull'aggiudicazione dei </w:t>
      </w:r>
      <w:r w:rsidR="006D538C" w:rsidRPr="006D538C">
        <w:lastRenderedPageBreak/>
        <w:t>contratti di concessione, sugli appalti pubblici e</w:t>
      </w:r>
      <w:r w:rsidR="006D538C">
        <w:t xml:space="preserve"> </w:t>
      </w:r>
      <w:r w:rsidR="006D538C" w:rsidRPr="006D538C">
        <w:t>sulle procedure d'appalto degli enti erogatori nei settori dell'acqua, dell'energia, dei</w:t>
      </w:r>
      <w:r w:rsidR="006D538C">
        <w:t xml:space="preserve"> </w:t>
      </w:r>
      <w:r w:rsidR="006D538C" w:rsidRPr="006D538C">
        <w:t>trasporti e dei servizi postali, nonché per il riordino della disciplina vigente in materia di</w:t>
      </w:r>
      <w:r w:rsidR="006D538C">
        <w:t xml:space="preserve"> </w:t>
      </w:r>
      <w:r w:rsidR="006D538C" w:rsidRPr="006D538C">
        <w:t>contratti pubblici relativi a lavori, servizi e forniture”.</w:t>
      </w:r>
      <w:r w:rsidR="00D72912">
        <w:t xml:space="preserve"> </w:t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  <w:t xml:space="preserve">        </w:t>
      </w:r>
      <w:r w:rsidR="006D538C" w:rsidRPr="006D538C">
        <w:t xml:space="preserve">I requisiti di partecipazione di cui agli artt. 80 ed 83 del </w:t>
      </w:r>
      <w:proofErr w:type="spellStart"/>
      <w:r w:rsidR="006D538C" w:rsidRPr="006D538C">
        <w:t>D.Lgs.n</w:t>
      </w:r>
      <w:proofErr w:type="spellEnd"/>
      <w:r w:rsidR="006D538C" w:rsidRPr="006D538C">
        <w:t>. 50/2016 ed i criteri di</w:t>
      </w:r>
      <w:r w:rsidR="006D538C">
        <w:t xml:space="preserve"> </w:t>
      </w:r>
      <w:r w:rsidR="006D538C" w:rsidRPr="006D538C">
        <w:t>selezione sono riportati negli allegati A) e B).</w:t>
      </w:r>
      <w:r w:rsidR="00D72912">
        <w:t xml:space="preserve"> </w:t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  <w:t xml:space="preserve">            </w:t>
      </w:r>
      <w:r w:rsidR="006D538C" w:rsidRPr="006D538C">
        <w:t>L’Ente provvederà all’aggiudicazione della concessione in base al criterio dell’offerta</w:t>
      </w:r>
      <w:r w:rsidR="006D538C">
        <w:t xml:space="preserve"> </w:t>
      </w:r>
      <w:r w:rsidR="006D538C" w:rsidRPr="006D538C">
        <w:t>economicamente più vantaggiosa sulla base del miglior rapporto qualità/prezzo, ai sensi</w:t>
      </w:r>
      <w:r w:rsidR="006D538C">
        <w:t xml:space="preserve"> </w:t>
      </w:r>
      <w:r w:rsidR="006D538C" w:rsidRPr="006D538C">
        <w:t xml:space="preserve">dell’art. 95, comma 2, del </w:t>
      </w:r>
      <w:proofErr w:type="spellStart"/>
      <w:r w:rsidR="006D538C" w:rsidRPr="006D538C">
        <w:t>D.Lgs.n</w:t>
      </w:r>
      <w:proofErr w:type="spellEnd"/>
      <w:r w:rsidR="006D538C" w:rsidRPr="006D538C">
        <w:t>. 50/2016, secondo i criteri indicati nell’allegato B).</w:t>
      </w:r>
    </w:p>
    <w:p w:rsidR="00997156" w:rsidRDefault="006D538C" w:rsidP="006D538C">
      <w:pPr>
        <w:jc w:val="both"/>
      </w:pPr>
      <w:r w:rsidRPr="006D538C">
        <w:t>Allegati:</w:t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</w:r>
      <w:r w:rsidR="00D72912">
        <w:tab/>
        <w:t xml:space="preserve">             </w:t>
      </w:r>
    </w:p>
    <w:p w:rsidR="005C7297" w:rsidRDefault="00997156" w:rsidP="006D538C">
      <w:pPr>
        <w:jc w:val="both"/>
      </w:pPr>
      <w:r>
        <w:t>1</w:t>
      </w:r>
      <w:r w:rsidR="006D538C">
        <w:t xml:space="preserve">. </w:t>
      </w:r>
      <w:r>
        <w:t>Allegato A1 – Requisiti di partecipazione</w:t>
      </w:r>
    </w:p>
    <w:p w:rsidR="00997156" w:rsidRDefault="00997156" w:rsidP="006D538C">
      <w:pPr>
        <w:jc w:val="both"/>
      </w:pPr>
      <w:r>
        <w:t xml:space="preserve">2. </w:t>
      </w:r>
      <w:r w:rsidR="000735C6">
        <w:t>A</w:t>
      </w:r>
      <w:r>
        <w:t>llegato A2 – Criteri di aggiudicazione</w:t>
      </w:r>
    </w:p>
    <w:p w:rsidR="00997156" w:rsidRPr="0063404A" w:rsidRDefault="00997156" w:rsidP="006D538C">
      <w:pPr>
        <w:jc w:val="both"/>
      </w:pPr>
    </w:p>
    <w:sectPr w:rsidR="00997156" w:rsidRPr="0063404A" w:rsidSect="00E06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7F5"/>
    <w:multiLevelType w:val="hybridMultilevel"/>
    <w:tmpl w:val="7C7402C6"/>
    <w:lvl w:ilvl="0" w:tplc="AC129B00">
      <w:start w:val="1"/>
      <w:numFmt w:val="decimal"/>
      <w:lvlText w:val="%1."/>
      <w:lvlJc w:val="left"/>
      <w:pPr>
        <w:ind w:left="639" w:hanging="351"/>
        <w:jc w:val="right"/>
      </w:pPr>
      <w:rPr>
        <w:rFonts w:ascii="Century Gothic" w:eastAsia="Century Gothic" w:hAnsi="Century Gothic" w:cs="Century Gothic" w:hint="default"/>
        <w:spacing w:val="-2"/>
        <w:w w:val="102"/>
        <w:sz w:val="21"/>
        <w:szCs w:val="21"/>
      </w:rPr>
    </w:lvl>
    <w:lvl w:ilvl="1" w:tplc="FBBE3F0A">
      <w:start w:val="1"/>
      <w:numFmt w:val="lowerLetter"/>
      <w:lvlText w:val="%2)"/>
      <w:lvlJc w:val="left"/>
      <w:pPr>
        <w:ind w:left="922" w:hanging="341"/>
      </w:pPr>
      <w:rPr>
        <w:rFonts w:ascii="Century Gothic" w:eastAsia="Century Gothic" w:hAnsi="Century Gothic" w:cs="Century Gothic" w:hint="default"/>
        <w:spacing w:val="0"/>
        <w:w w:val="102"/>
        <w:sz w:val="21"/>
        <w:szCs w:val="21"/>
      </w:rPr>
    </w:lvl>
    <w:lvl w:ilvl="2" w:tplc="CFCC5D32">
      <w:numFmt w:val="bullet"/>
      <w:lvlText w:val="•"/>
      <w:lvlJc w:val="left"/>
      <w:pPr>
        <w:ind w:left="1944" w:hanging="341"/>
      </w:pPr>
      <w:rPr>
        <w:rFonts w:hint="default"/>
      </w:rPr>
    </w:lvl>
    <w:lvl w:ilvl="3" w:tplc="AACE12CA">
      <w:numFmt w:val="bullet"/>
      <w:lvlText w:val="•"/>
      <w:lvlJc w:val="left"/>
      <w:pPr>
        <w:ind w:left="2968" w:hanging="341"/>
      </w:pPr>
      <w:rPr>
        <w:rFonts w:hint="default"/>
      </w:rPr>
    </w:lvl>
    <w:lvl w:ilvl="4" w:tplc="140A37E4">
      <w:numFmt w:val="bullet"/>
      <w:lvlText w:val="•"/>
      <w:lvlJc w:val="left"/>
      <w:pPr>
        <w:ind w:left="3993" w:hanging="341"/>
      </w:pPr>
      <w:rPr>
        <w:rFonts w:hint="default"/>
      </w:rPr>
    </w:lvl>
    <w:lvl w:ilvl="5" w:tplc="B6DA7FB2">
      <w:numFmt w:val="bullet"/>
      <w:lvlText w:val="•"/>
      <w:lvlJc w:val="left"/>
      <w:pPr>
        <w:ind w:left="5017" w:hanging="341"/>
      </w:pPr>
      <w:rPr>
        <w:rFonts w:hint="default"/>
      </w:rPr>
    </w:lvl>
    <w:lvl w:ilvl="6" w:tplc="4648858A">
      <w:numFmt w:val="bullet"/>
      <w:lvlText w:val="•"/>
      <w:lvlJc w:val="left"/>
      <w:pPr>
        <w:ind w:left="6042" w:hanging="341"/>
      </w:pPr>
      <w:rPr>
        <w:rFonts w:hint="default"/>
      </w:rPr>
    </w:lvl>
    <w:lvl w:ilvl="7" w:tplc="741E411E">
      <w:numFmt w:val="bullet"/>
      <w:lvlText w:val="•"/>
      <w:lvlJc w:val="left"/>
      <w:pPr>
        <w:ind w:left="7066" w:hanging="341"/>
      </w:pPr>
      <w:rPr>
        <w:rFonts w:hint="default"/>
      </w:rPr>
    </w:lvl>
    <w:lvl w:ilvl="8" w:tplc="7728ADF4">
      <w:numFmt w:val="bullet"/>
      <w:lvlText w:val="•"/>
      <w:lvlJc w:val="left"/>
      <w:pPr>
        <w:ind w:left="8091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7D"/>
    <w:rsid w:val="000735C6"/>
    <w:rsid w:val="000F4D96"/>
    <w:rsid w:val="00164DB4"/>
    <w:rsid w:val="001A72EF"/>
    <w:rsid w:val="00217600"/>
    <w:rsid w:val="0033255A"/>
    <w:rsid w:val="00376068"/>
    <w:rsid w:val="003D3390"/>
    <w:rsid w:val="004608AC"/>
    <w:rsid w:val="004C1D88"/>
    <w:rsid w:val="0052627D"/>
    <w:rsid w:val="005855EE"/>
    <w:rsid w:val="005C7297"/>
    <w:rsid w:val="0063404A"/>
    <w:rsid w:val="006473F2"/>
    <w:rsid w:val="006539F7"/>
    <w:rsid w:val="00662705"/>
    <w:rsid w:val="00696D4F"/>
    <w:rsid w:val="006D538C"/>
    <w:rsid w:val="006E078A"/>
    <w:rsid w:val="00730847"/>
    <w:rsid w:val="00743883"/>
    <w:rsid w:val="00831AD7"/>
    <w:rsid w:val="00863172"/>
    <w:rsid w:val="00940B00"/>
    <w:rsid w:val="00997156"/>
    <w:rsid w:val="00A02224"/>
    <w:rsid w:val="00A131A1"/>
    <w:rsid w:val="00A25ED1"/>
    <w:rsid w:val="00A81378"/>
    <w:rsid w:val="00AF03F9"/>
    <w:rsid w:val="00B67493"/>
    <w:rsid w:val="00C31B8F"/>
    <w:rsid w:val="00D54AF9"/>
    <w:rsid w:val="00D72912"/>
    <w:rsid w:val="00D7342B"/>
    <w:rsid w:val="00E0647F"/>
    <w:rsid w:val="00E2622A"/>
    <w:rsid w:val="00E93AA8"/>
    <w:rsid w:val="00EE1AC7"/>
    <w:rsid w:val="00F231AC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627D"/>
    <w:pPr>
      <w:widowControl w:val="0"/>
      <w:spacing w:after="0" w:line="240" w:lineRule="auto"/>
      <w:ind w:left="101"/>
      <w:jc w:val="both"/>
    </w:pPr>
    <w:rPr>
      <w:rFonts w:ascii="Century Gothic" w:eastAsia="Century Gothic" w:hAnsi="Century Gothic" w:cs="Century Gothic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627D"/>
    <w:rPr>
      <w:rFonts w:ascii="Century Gothic" w:eastAsia="Century Gothic" w:hAnsi="Century Gothic" w:cs="Century Gothic"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52627D"/>
    <w:pPr>
      <w:widowControl w:val="0"/>
      <w:spacing w:after="0" w:line="240" w:lineRule="auto"/>
      <w:ind w:left="101"/>
      <w:jc w:val="both"/>
      <w:outlineLvl w:val="2"/>
    </w:pPr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52627D"/>
    <w:pPr>
      <w:widowControl w:val="0"/>
      <w:spacing w:after="0" w:line="240" w:lineRule="auto"/>
      <w:ind w:left="802" w:hanging="350"/>
      <w:jc w:val="both"/>
    </w:pPr>
    <w:rPr>
      <w:rFonts w:ascii="Century Gothic" w:eastAsia="Century Gothic" w:hAnsi="Century Gothic" w:cs="Century Gothic"/>
      <w:lang w:val="en-US"/>
    </w:rPr>
  </w:style>
  <w:style w:type="table" w:styleId="Grigliatabella">
    <w:name w:val="Table Grid"/>
    <w:basedOn w:val="Tabellanormale"/>
    <w:uiPriority w:val="59"/>
    <w:rsid w:val="001A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627D"/>
    <w:pPr>
      <w:widowControl w:val="0"/>
      <w:spacing w:after="0" w:line="240" w:lineRule="auto"/>
      <w:ind w:left="101"/>
      <w:jc w:val="both"/>
    </w:pPr>
    <w:rPr>
      <w:rFonts w:ascii="Century Gothic" w:eastAsia="Century Gothic" w:hAnsi="Century Gothic" w:cs="Century Gothic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627D"/>
    <w:rPr>
      <w:rFonts w:ascii="Century Gothic" w:eastAsia="Century Gothic" w:hAnsi="Century Gothic" w:cs="Century Gothic"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52627D"/>
    <w:pPr>
      <w:widowControl w:val="0"/>
      <w:spacing w:after="0" w:line="240" w:lineRule="auto"/>
      <w:ind w:left="101"/>
      <w:jc w:val="both"/>
      <w:outlineLvl w:val="2"/>
    </w:pPr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52627D"/>
    <w:pPr>
      <w:widowControl w:val="0"/>
      <w:spacing w:after="0" w:line="240" w:lineRule="auto"/>
      <w:ind w:left="802" w:hanging="350"/>
      <w:jc w:val="both"/>
    </w:pPr>
    <w:rPr>
      <w:rFonts w:ascii="Century Gothic" w:eastAsia="Century Gothic" w:hAnsi="Century Gothic" w:cs="Century Gothic"/>
      <w:lang w:val="en-US"/>
    </w:rPr>
  </w:style>
  <w:style w:type="table" w:styleId="Grigliatabella">
    <w:name w:val="Table Grid"/>
    <w:basedOn w:val="Tabellanormale"/>
    <w:uiPriority w:val="59"/>
    <w:rsid w:val="001A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5D85-B4C4-49D9-8F57-526B2D92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Torrisi</dc:creator>
  <cp:lastModifiedBy>La Malfa</cp:lastModifiedBy>
  <cp:revision>2</cp:revision>
  <dcterms:created xsi:type="dcterms:W3CDTF">2018-04-20T07:32:00Z</dcterms:created>
  <dcterms:modified xsi:type="dcterms:W3CDTF">2018-04-20T07:32:00Z</dcterms:modified>
</cp:coreProperties>
</file>